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 w:rsidP="00404DC0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ACE INHIBITORS AND ANGIOTENSIN-II BLOCKERS FOR CHF AT DISCHARGE IN AN INNER-CITY HOSPITAL IN MINORITY POPULATION  </w:t>
      </w:r>
    </w:p>
    <w:bookmarkEnd w:id="0"/>
    <w:p w:rsidR="00B921ED" w:rsidRDefault="00B921ED" w:rsidP="00404DC0">
      <w:pPr>
        <w:widowControl w:val="0"/>
        <w:autoSpaceDE w:val="0"/>
        <w:autoSpaceDN w:val="0"/>
        <w:adjustRightInd w:val="0"/>
      </w:pPr>
      <w:r>
        <w:t xml:space="preserve">M. </w:t>
      </w:r>
      <w:proofErr w:type="spellStart"/>
      <w:r>
        <w:t>Bhandari</w:t>
      </w:r>
      <w:proofErr w:type="spellEnd"/>
      <w:r>
        <w:t xml:space="preserve">, H. Patel, U. Khan, C. </w:t>
      </w:r>
      <w:proofErr w:type="spellStart"/>
      <w:r>
        <w:t>McCaleb</w:t>
      </w:r>
      <w:proofErr w:type="spellEnd"/>
      <w:r>
        <w:t xml:space="preserve">, </w:t>
      </w:r>
      <w:r w:rsidRPr="00404DC0">
        <w:rPr>
          <w:b/>
          <w:bCs/>
          <w:u w:val="single"/>
        </w:rPr>
        <w:t xml:space="preserve">R. </w:t>
      </w:r>
      <w:proofErr w:type="spellStart"/>
      <w:r w:rsidRPr="00404DC0">
        <w:rPr>
          <w:b/>
          <w:bCs/>
          <w:u w:val="single"/>
        </w:rPr>
        <w:t>Alvi</w:t>
      </w:r>
      <w:proofErr w:type="spellEnd"/>
      <w:r>
        <w:t xml:space="preserve">, N.C. </w:t>
      </w:r>
      <w:proofErr w:type="spellStart"/>
      <w:r>
        <w:t>Balodkar</w:t>
      </w:r>
      <w:proofErr w:type="spellEnd"/>
    </w:p>
    <w:p w:rsidR="00B921ED" w:rsidRDefault="00B921ED" w:rsidP="00404DC0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Bronx-Lebanon Hospital Center, Affiliated with Albert Einstein College of Medicine</w:t>
      </w:r>
    </w:p>
    <w:p w:rsidR="00B921ED" w:rsidRDefault="00B921ED" w:rsidP="00404DC0">
      <w:pPr>
        <w:widowControl w:val="0"/>
        <w:autoSpaceDE w:val="0"/>
        <w:autoSpaceDN w:val="0"/>
        <w:adjustRightInd w:val="0"/>
      </w:pPr>
    </w:p>
    <w:p w:rsidR="00404DC0" w:rsidRDefault="00404DC0" w:rsidP="00404DC0">
      <w:pPr>
        <w:pStyle w:val="BodyText"/>
        <w:spacing w:after="0"/>
        <w:jc w:val="both"/>
        <w:rPr>
          <w:rFonts w:ascii="Times New Roman" w:hAnsi="Times New Roman"/>
          <w:b/>
        </w:rPr>
      </w:pPr>
      <w:r w:rsidRPr="00404DC0">
        <w:rPr>
          <w:rFonts w:ascii="Times New Roman" w:hAnsi="Times New Roman"/>
          <w:bCs/>
        </w:rPr>
        <w:t>Objective: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Evaluate guideline-mandated use of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ACE inhibitors (ACEI) and Angiotensin-II receptor blockers (ARB) in patients (</w:t>
      </w:r>
      <w:proofErr w:type="spellStart"/>
      <w:r>
        <w:rPr>
          <w:rFonts w:ascii="Times New Roman" w:hAnsi="Times New Roman"/>
        </w:rPr>
        <w:t>pts</w:t>
      </w:r>
      <w:proofErr w:type="spellEnd"/>
      <w:r>
        <w:rPr>
          <w:rFonts w:ascii="Times New Roman" w:hAnsi="Times New Roman"/>
        </w:rPr>
        <w:t>) with CHF and reduced left ventricular ejection fraction (LVEF) at the time of discharge.</w:t>
      </w:r>
    </w:p>
    <w:p w:rsidR="00404DC0" w:rsidRDefault="00404DC0" w:rsidP="00404DC0">
      <w:pPr>
        <w:pStyle w:val="BodyText"/>
        <w:spacing w:after="0"/>
        <w:jc w:val="both"/>
        <w:rPr>
          <w:rFonts w:ascii="Times New Roman" w:hAnsi="Times New Roman"/>
          <w:b/>
        </w:rPr>
      </w:pPr>
      <w:r w:rsidRPr="00404DC0">
        <w:rPr>
          <w:rFonts w:ascii="Times New Roman" w:hAnsi="Times New Roman"/>
          <w:bCs/>
        </w:rPr>
        <w:t>Background: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ACEI and ARB (in ACE inhibitors intolerant) are class I recommendations for all CHF </w:t>
      </w:r>
      <w:proofErr w:type="spellStart"/>
      <w:r>
        <w:rPr>
          <w:rFonts w:ascii="Times New Roman" w:hAnsi="Times New Roman"/>
        </w:rPr>
        <w:t>pts</w:t>
      </w:r>
      <w:proofErr w:type="spellEnd"/>
      <w:r>
        <w:rPr>
          <w:rFonts w:ascii="Times New Roman" w:hAnsi="Times New Roman"/>
        </w:rPr>
        <w:t xml:space="preserve"> with reduced LVEF, unless contraindicated.</w:t>
      </w:r>
    </w:p>
    <w:p w:rsidR="00404DC0" w:rsidRDefault="00404DC0" w:rsidP="00404DC0">
      <w:pPr>
        <w:pStyle w:val="BodyText"/>
        <w:spacing w:after="0"/>
        <w:jc w:val="both"/>
        <w:rPr>
          <w:rFonts w:ascii="Times New Roman" w:hAnsi="Times New Roman"/>
        </w:rPr>
      </w:pPr>
      <w:r w:rsidRPr="00404DC0">
        <w:rPr>
          <w:rFonts w:ascii="Times New Roman" w:hAnsi="Times New Roman"/>
          <w:bCs/>
        </w:rPr>
        <w:t>Methods and results: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Retrospective analysis of discharge instructions of 628 </w:t>
      </w:r>
      <w:proofErr w:type="spellStart"/>
      <w:r>
        <w:rPr>
          <w:rFonts w:ascii="Times New Roman" w:hAnsi="Times New Roman"/>
        </w:rPr>
        <w:t>pts</w:t>
      </w:r>
      <w:proofErr w:type="spellEnd"/>
      <w:r>
        <w:rPr>
          <w:rFonts w:ascii="Times New Roman" w:hAnsi="Times New Roman"/>
        </w:rPr>
        <w:t xml:space="preserve"> with systolic CHF with LVEF &lt;45 % was done. Patients (n=61) who had deceased were excluded. Of remaining 567 </w:t>
      </w:r>
      <w:proofErr w:type="spellStart"/>
      <w:r>
        <w:rPr>
          <w:rFonts w:ascii="Times New Roman" w:hAnsi="Times New Roman"/>
        </w:rPr>
        <w:t>pts</w:t>
      </w:r>
      <w:proofErr w:type="spellEnd"/>
      <w:r>
        <w:rPr>
          <w:rFonts w:ascii="Times New Roman" w:hAnsi="Times New Roman"/>
        </w:rPr>
        <w:t xml:space="preserve">, 421 </w:t>
      </w:r>
      <w:proofErr w:type="spellStart"/>
      <w:r>
        <w:rPr>
          <w:rFonts w:ascii="Times New Roman" w:hAnsi="Times New Roman"/>
        </w:rPr>
        <w:t>pts</w:t>
      </w:r>
      <w:proofErr w:type="spellEnd"/>
      <w:r>
        <w:rPr>
          <w:rFonts w:ascii="Times New Roman" w:hAnsi="Times New Roman"/>
        </w:rPr>
        <w:t xml:space="preserve"> (74.3%) had ACEI and/or ARB in the discharge instructions. However, we wanted to evaluate use of ACEI/ARB in ACEI eligible pts. Charts of remaining (N=146) who did not receive ACEI/ARB were reviewed. Details were as follows: 32  (5.6%) left hospital against medical advice and were given prescriptions, 12  (2.1%) had documented allergy to ACEI, 12 </w:t>
      </w:r>
      <w:proofErr w:type="spellStart"/>
      <w:r>
        <w:rPr>
          <w:rFonts w:ascii="Times New Roman" w:hAnsi="Times New Roman"/>
        </w:rPr>
        <w:t>pts</w:t>
      </w:r>
      <w:proofErr w:type="spellEnd"/>
      <w:r>
        <w:rPr>
          <w:rFonts w:ascii="Times New Roman" w:hAnsi="Times New Roman"/>
        </w:rPr>
        <w:t xml:space="preserve"> (2.1%) had acute renal failure, 37 </w:t>
      </w:r>
      <w:proofErr w:type="spellStart"/>
      <w:r>
        <w:rPr>
          <w:rFonts w:ascii="Times New Roman" w:hAnsi="Times New Roman"/>
        </w:rPr>
        <w:t>pts</w:t>
      </w:r>
      <w:proofErr w:type="spellEnd"/>
      <w:r>
        <w:rPr>
          <w:rFonts w:ascii="Times New Roman" w:hAnsi="Times New Roman"/>
        </w:rPr>
        <w:t xml:space="preserve"> (6.5%) had serum </w:t>
      </w:r>
      <w:proofErr w:type="spellStart"/>
      <w:r>
        <w:rPr>
          <w:rFonts w:ascii="Times New Roman" w:hAnsi="Times New Roman"/>
        </w:rPr>
        <w:t>creatinine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eastAsia="MS Gothic" w:hAnsi="Times New Roman"/>
          <w:color w:val="000000"/>
        </w:rPr>
        <w:t>≥</w:t>
      </w:r>
      <w:r>
        <w:rPr>
          <w:rFonts w:ascii="Times New Roman" w:hAnsi="Times New Roman"/>
        </w:rPr>
        <w:t xml:space="preserve">2.5 mg/dl, 26 </w:t>
      </w:r>
      <w:proofErr w:type="spellStart"/>
      <w:r>
        <w:rPr>
          <w:rFonts w:ascii="Times New Roman" w:hAnsi="Times New Roman"/>
        </w:rPr>
        <w:t>pts</w:t>
      </w:r>
      <w:proofErr w:type="spellEnd"/>
      <w:r>
        <w:rPr>
          <w:rFonts w:ascii="Times New Roman" w:hAnsi="Times New Roman"/>
        </w:rPr>
        <w:t xml:space="preserve"> (4.6%) had serum potassium </w:t>
      </w:r>
      <w:r>
        <w:rPr>
          <w:rFonts w:ascii="Times New Roman" w:eastAsia="MS Gothic" w:hAnsi="Times New Roman"/>
          <w:color w:val="000000"/>
        </w:rPr>
        <w:t>≥</w:t>
      </w:r>
      <w:r>
        <w:rPr>
          <w:rFonts w:ascii="Times New Roman" w:hAnsi="Times New Roman"/>
        </w:rPr>
        <w:t xml:space="preserve">5.5mEq/L,16 </w:t>
      </w:r>
      <w:proofErr w:type="spellStart"/>
      <w:r>
        <w:rPr>
          <w:rFonts w:ascii="Times New Roman" w:hAnsi="Times New Roman"/>
        </w:rPr>
        <w:t>pts</w:t>
      </w:r>
      <w:proofErr w:type="spellEnd"/>
      <w:r>
        <w:rPr>
          <w:rFonts w:ascii="Times New Roman" w:hAnsi="Times New Roman"/>
        </w:rPr>
        <w:t xml:space="preserve"> (2.8%) were not given prescriptions of  ACEI or ARB as they were being transferred to other institutions for further evaluation, or pending next contrast study. Hence, only 11 </w:t>
      </w:r>
      <w:proofErr w:type="spellStart"/>
      <w:r>
        <w:rPr>
          <w:rFonts w:ascii="Times New Roman" w:hAnsi="Times New Roman"/>
        </w:rPr>
        <w:t>pts</w:t>
      </w:r>
      <w:proofErr w:type="spellEnd"/>
      <w:r>
        <w:rPr>
          <w:rFonts w:ascii="Times New Roman" w:hAnsi="Times New Roman"/>
        </w:rPr>
        <w:t xml:space="preserve"> (1.7 %) did not receive ACEI or ARB.</w:t>
      </w:r>
    </w:p>
    <w:p w:rsidR="00404DC0" w:rsidRDefault="00404DC0" w:rsidP="00404DC0"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Demographics of our study population was as follows: 275 Hispanics (48.5 %), 241 African Americans (42.5%), 10 white/Caucasian (1.8%), 41 other race (7.2%), mean age 61.4</w:t>
      </w:r>
      <w:r>
        <w:rPr>
          <w:rFonts w:ascii="Times New Roman" w:eastAsia="MS Gothic" w:hAnsi="Times New Roman"/>
          <w:color w:val="000000"/>
        </w:rPr>
        <w:t>±</w:t>
      </w:r>
      <w:r>
        <w:rPr>
          <w:rFonts w:ascii="Times New Roman" w:hAnsi="Times New Roman"/>
        </w:rPr>
        <w:t>14.4 years, 331(58.4%) males. Left ventricular ejection fraction was 30.5</w:t>
      </w:r>
      <w:r>
        <w:rPr>
          <w:rFonts w:ascii="MS Gothic" w:eastAsia="MS Gothic" w:hAnsi="MS Gothic" w:hint="eastAsia"/>
          <w:color w:val="000000"/>
        </w:rPr>
        <w:t>±</w:t>
      </w:r>
      <w:r>
        <w:rPr>
          <w:rFonts w:ascii="Times New Roman" w:hAnsi="Times New Roman"/>
        </w:rPr>
        <w:t>8.6 %</w:t>
      </w:r>
    </w:p>
    <w:p w:rsidR="00404DC0" w:rsidRDefault="00404DC0" w:rsidP="00404DC0">
      <w:pPr>
        <w:pStyle w:val="BodyText"/>
        <w:spacing w:after="0"/>
        <w:jc w:val="both"/>
        <w:rPr>
          <w:rFonts w:ascii="Times New Roman" w:hAnsi="Times New Roman"/>
          <w:b/>
        </w:rPr>
      </w:pPr>
      <w:r w:rsidRPr="00404DC0">
        <w:rPr>
          <w:rFonts w:ascii="Times New Roman" w:hAnsi="Times New Roman"/>
          <w:bCs/>
        </w:rPr>
        <w:t>Conclusions: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Guideline-mandated use of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ACEI/ARB in patients with CHF and reduced LVEF at the time of discharge almost approaches 98.3% in an inner-city hospital with predominant minority populations.  We should strive for 100% use of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ACEI/ARB in these patients. </w:t>
      </w:r>
    </w:p>
    <w:p w:rsidR="00404DC0" w:rsidRDefault="00404DC0" w:rsidP="00404DC0">
      <w:pPr>
        <w:rPr>
          <w:sz w:val="22"/>
          <w:szCs w:val="22"/>
        </w:rPr>
      </w:pPr>
    </w:p>
    <w:p w:rsidR="00B921ED" w:rsidRDefault="00B921ED" w:rsidP="00404DC0">
      <w:pPr>
        <w:widowControl w:val="0"/>
        <w:autoSpaceDE w:val="0"/>
        <w:autoSpaceDN w:val="0"/>
        <w:adjustRightInd w:val="0"/>
        <w:jc w:val="both"/>
      </w:pPr>
    </w:p>
    <w:sectPr w:rsidR="00B921ED" w:rsidSect="008B0197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97" w:rsidRDefault="008B0197" w:rsidP="008B0197">
      <w:r>
        <w:separator/>
      </w:r>
    </w:p>
  </w:endnote>
  <w:endnote w:type="continuationSeparator" w:id="0">
    <w:p w:rsidR="008B0197" w:rsidRDefault="008B0197" w:rsidP="008B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97" w:rsidRDefault="008B0197" w:rsidP="008B0197">
      <w:r>
        <w:separator/>
      </w:r>
    </w:p>
  </w:footnote>
  <w:footnote w:type="continuationSeparator" w:id="0">
    <w:p w:rsidR="008B0197" w:rsidRDefault="008B0197" w:rsidP="008B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97" w:rsidRDefault="008B0197" w:rsidP="008B0197">
    <w:pPr>
      <w:pStyle w:val="Header"/>
    </w:pPr>
    <w:r>
      <w:t>1519, oral or poster, cat: 41</w:t>
    </w:r>
  </w:p>
  <w:p w:rsidR="008B0197" w:rsidRDefault="008B0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04DC0"/>
    <w:rsid w:val="00447B2F"/>
    <w:rsid w:val="008B0197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04DC0"/>
    <w:pPr>
      <w:spacing w:after="120"/>
    </w:pPr>
    <w:rPr>
      <w:rFonts w:ascii="Cambria" w:eastAsia="MS Mincho" w:hAnsi="Cambria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404DC0"/>
    <w:rPr>
      <w:rFonts w:ascii="Cambria" w:eastAsia="MS Mincho" w:hAnsi="Cambria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B0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1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1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04DC0"/>
    <w:pPr>
      <w:spacing w:after="120"/>
    </w:pPr>
    <w:rPr>
      <w:rFonts w:ascii="Cambria" w:eastAsia="MS Mincho" w:hAnsi="Cambria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404DC0"/>
    <w:rPr>
      <w:rFonts w:ascii="Cambria" w:eastAsia="MS Mincho" w:hAnsi="Cambria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B0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1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1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B87B825A</Template>
  <TotalTime>6</TotalTime>
  <Pages>1</Pages>
  <Words>313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2012-05-09T09:25:00Z</cp:lastPrinted>
  <dcterms:created xsi:type="dcterms:W3CDTF">2012-05-09T09:25:00Z</dcterms:created>
  <dcterms:modified xsi:type="dcterms:W3CDTF">2012-05-09T09:30:00Z</dcterms:modified>
</cp:coreProperties>
</file>